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9F5" w:rsidRDefault="0031024F">
      <w:pPr>
        <w:spacing w:before="60" w:after="60" w:line="240" w:lineRule="auto"/>
        <w:jc w:val="both"/>
        <w:rPr>
          <w:rFonts w:ascii="Marianne" w:eastAsia="Times New Roman" w:hAnsi="Marianne" w:cs="Marianne"/>
          <w:sz w:val="28"/>
          <w:szCs w:val="28"/>
          <w:lang w:eastAsia="zh-CN"/>
        </w:rPr>
      </w:pPr>
      <w:bookmarkStart w:id="0" w:name="_GoBack"/>
      <w:bookmarkEnd w:id="0"/>
      <w:r>
        <w:rPr>
          <w:noProof/>
          <w:lang w:eastAsia="fr-FR"/>
        </w:rPr>
        <mc:AlternateContent>
          <mc:Choice Requires="wps">
            <w:drawing>
              <wp:anchor distT="8255" distB="6985" distL="120650" distR="121920" simplePos="0" relativeHeight="3" behindDoc="0" locked="0" layoutInCell="0" allowOverlap="1">
                <wp:simplePos x="0" y="0"/>
                <wp:positionH relativeFrom="column">
                  <wp:posOffset>3935730</wp:posOffset>
                </wp:positionH>
                <wp:positionV relativeFrom="paragraph">
                  <wp:posOffset>424815</wp:posOffset>
                </wp:positionV>
                <wp:extent cx="1824355" cy="308610"/>
                <wp:effectExtent l="635" t="0" r="0" b="0"/>
                <wp:wrapSquare wrapText="bothSides"/>
                <wp:docPr id="1" name="Zone de texte 2"/>
                <wp:cNvGraphicFramePr/>
                <a:graphic xmlns:a="http://schemas.openxmlformats.org/drawingml/2006/main">
                  <a:graphicData uri="http://schemas.microsoft.com/office/word/2010/wordprocessingShape">
                    <wps:wsp>
                      <wps:cNvSpPr/>
                      <wps:spPr>
                        <a:xfrm>
                          <a:off x="0" y="0"/>
                          <a:ext cx="1824480" cy="308520"/>
                        </a:xfrm>
                        <a:prstGeom prst="rect">
                          <a:avLst/>
                        </a:prstGeom>
                        <a:noFill/>
                        <a:ln w="0">
                          <a:noFill/>
                        </a:ln>
                      </wps:spPr>
                      <wps:style>
                        <a:lnRef idx="0">
                          <a:scrgbClr r="0" g="0" b="0"/>
                        </a:lnRef>
                        <a:fillRef idx="0">
                          <a:scrgbClr r="0" g="0" b="0"/>
                        </a:fillRef>
                        <a:effectRef idx="0">
                          <a:scrgbClr r="0" g="0" b="0"/>
                        </a:effectRef>
                        <a:fontRef idx="minor"/>
                      </wps:style>
                      <wps:txbx>
                        <w:txbxContent>
                          <w:p w:rsidR="00C519F5" w:rsidRDefault="0031024F">
                            <w:pPr>
                              <w:pStyle w:val="ServiceInfoHeader"/>
                            </w:pPr>
                            <w:r>
                              <w:rPr>
                                <w:rFonts w:ascii="Marianne" w:hAnsi="Marianne" w:cs="Marianne"/>
                                <w:sz w:val="28"/>
                                <w:szCs w:val="28"/>
                              </w:rPr>
                              <w:t>Secrétariat général</w:t>
                            </w:r>
                          </w:p>
                        </w:txbxContent>
                      </wps:txbx>
                      <wps:bodyPr lIns="92160" tIns="46440" rIns="92160" bIns="46440" anchor="t" upright="1">
                        <a:noAutofit/>
                      </wps:bodyPr>
                    </wps:wsp>
                  </a:graphicData>
                </a:graphic>
              </wp:anchor>
            </w:drawing>
          </mc:Choice>
          <mc:Fallback>
            <w:pict>
              <v:rect id="Zone de texte 2" o:spid="_x0000_s1026" style="position:absolute;left:0;text-align:left;margin-left:309.9pt;margin-top:33.45pt;width:143.65pt;height:24.3pt;z-index:3;visibility:visible;mso-wrap-style:square;mso-wrap-distance-left:9.5pt;mso-wrap-distance-top:.65pt;mso-wrap-distance-right:9.6pt;mso-wrap-distance-bottom:.5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" o:allowincell="f" filled="f" stroked="f" strokeweight="0">
                <v:textbox inset="2.56mm,1.29mm,2.56mm,1.29mm">
                  <w:txbxContent>
                    <w:p w:rsidR="00C519F5" w:rsidRDefault="0031024F">
                      <w:pPr>
                        <w:pStyle w:val="ServiceInfoHeader"/>
                      </w:pPr>
                      <w:r>
                        <w:rPr>
                          <w:rFonts w:ascii="Marianne" w:hAnsi="Marianne" w:cs="Marianne"/>
                          <w:sz w:val="28"/>
                          <w:szCs w:val="28"/>
                        </w:rPr>
                        <w:t>Secrétariat général</w:t>
                      </w:r>
                    </w:p>
                  </w:txbxContent>
                </v:textbox>
                <w10:wrap type="square"/>
              </v:rect>
            </w:pict>
          </mc:Fallback>
        </mc:AlternateContent>
      </w:r>
      <w:r>
        <w:rPr>
          <w:noProof/>
          <w:lang w:eastAsia="fr-FR"/>
        </w:rPr>
        <w:drawing>
          <wp:inline distT="0" distB="0" distL="0" distR="0">
            <wp:extent cx="1534795" cy="116078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7"/>
                    <a:srcRect l="-7" t="-9" r="-7" b="-9"/>
                    <a:stretch>
                      <a:fillRect/>
                    </a:stretch>
                  </pic:blipFill>
                  <pic:spPr bwMode="auto">
                    <a:xfrm>
                      <a:off x="0" y="0"/>
                      <a:ext cx="1534795" cy="1160780"/>
                    </a:xfrm>
                    <a:prstGeom prst="rect">
                      <a:avLst/>
                    </a:prstGeom>
                  </pic:spPr>
                </pic:pic>
              </a:graphicData>
            </a:graphic>
          </wp:inline>
        </w:drawing>
      </w:r>
    </w:p>
    <w:p w:rsidR="00C519F5" w:rsidRDefault="00C519F5">
      <w:pPr>
        <w:spacing w:before="60" w:after="60" w:line="240" w:lineRule="auto"/>
        <w:jc w:val="both"/>
        <w:rPr>
          <w:rFonts w:ascii="Marianne" w:eastAsia="Times New Roman" w:hAnsi="Marianne" w:cs="Marianne"/>
          <w:sz w:val="28"/>
          <w:szCs w:val="28"/>
          <w:lang w:eastAsia="zh-CN"/>
        </w:rPr>
      </w:pPr>
    </w:p>
    <w:p w:rsidR="00C519F5" w:rsidRDefault="0031024F">
      <w:pPr>
        <w:widowControl w:val="0"/>
        <w:tabs>
          <w:tab w:val="right" w:pos="9026"/>
        </w:tabs>
        <w:spacing w:after="0" w:line="240" w:lineRule="auto"/>
        <w:jc w:val="right"/>
        <w:rPr>
          <w:rFonts w:ascii="Arial" w:eastAsia="Arial" w:hAnsi="Arial" w:cs="Arial"/>
          <w:b/>
          <w:bCs/>
          <w:caps/>
          <w:sz w:val="24"/>
          <w:szCs w:val="24"/>
          <w:lang w:eastAsia="zh-CN"/>
        </w:rPr>
      </w:pPr>
      <w:r>
        <w:rPr>
          <w:rFonts w:ascii="Arial" w:eastAsia="Arial" w:hAnsi="Arial" w:cs="Arial"/>
          <w:b/>
          <w:bCs/>
          <w:sz w:val="24"/>
          <w:szCs w:val="24"/>
          <w:lang w:eastAsia="zh-CN"/>
        </w:rPr>
        <w:tab/>
      </w:r>
    </w:p>
    <w:p w:rsidR="00C519F5" w:rsidRDefault="0031024F">
      <w:pPr>
        <w:spacing w:after="0" w:line="240" w:lineRule="auto"/>
        <w:jc w:val="center"/>
        <w:rPr>
          <w:rFonts w:ascii="Arial" w:eastAsia="MS Mincho" w:hAnsi="Arial" w:cs="Times New Roman"/>
          <w:b/>
          <w:caps/>
          <w:szCs w:val="24"/>
          <w:lang w:val="x-none" w:eastAsia="zh-CN"/>
        </w:rPr>
      </w:pPr>
      <w:r>
        <w:rPr>
          <w:rFonts w:ascii="Arial" w:eastAsia="MS Mincho" w:hAnsi="Arial" w:cs="Times New Roman"/>
          <w:b/>
          <w:caps/>
          <w:szCs w:val="24"/>
          <w:lang w:val="x-none" w:eastAsia="zh-CN"/>
        </w:rPr>
        <w:t>DIRECTION DE L’EVALUATION, DE LA PERFORMANCE, DE L’ACHAT, DES FINANCES ET DE L’IMMOBILIER</w:t>
      </w:r>
    </w:p>
    <w:p w:rsidR="00C519F5" w:rsidRDefault="00C519F5">
      <w:pPr>
        <w:spacing w:after="0" w:line="240" w:lineRule="auto"/>
        <w:jc w:val="center"/>
        <w:rPr>
          <w:rFonts w:ascii="Arial" w:eastAsia="MS Mincho" w:hAnsi="Arial" w:cs="Times New Roman"/>
          <w:b/>
          <w:caps/>
          <w:szCs w:val="24"/>
          <w:lang w:val="x-none" w:eastAsia="zh-CN"/>
        </w:rPr>
      </w:pPr>
    </w:p>
    <w:p w:rsidR="00C519F5" w:rsidRDefault="0031024F">
      <w:pPr>
        <w:spacing w:after="0" w:line="240" w:lineRule="auto"/>
        <w:jc w:val="center"/>
        <w:rPr>
          <w:rFonts w:ascii="Arial" w:eastAsia="MS Mincho" w:hAnsi="Arial" w:cs="Times New Roman"/>
          <w:b/>
          <w:caps/>
          <w:szCs w:val="24"/>
          <w:lang w:val="x-none" w:eastAsia="zh-CN"/>
        </w:rPr>
      </w:pPr>
      <w:r>
        <w:rPr>
          <w:rFonts w:ascii="Arial" w:eastAsia="MS Mincho" w:hAnsi="Arial" w:cs="Times New Roman"/>
          <w:b/>
          <w:caps/>
          <w:szCs w:val="24"/>
          <w:lang w:val="x-none" w:eastAsia="zh-CN"/>
        </w:rPr>
        <w:t xml:space="preserve">SOUS-DIRECTION DE L’ACHAT ET DU SUIVI DE L’EXECUTION DES MARCHES </w:t>
      </w:r>
    </w:p>
    <w:p w:rsidR="00C519F5" w:rsidRDefault="00C519F5">
      <w:pPr>
        <w:spacing w:after="0" w:line="240" w:lineRule="auto"/>
        <w:jc w:val="center"/>
        <w:rPr>
          <w:rFonts w:ascii="Arial" w:eastAsia="MS Mincho" w:hAnsi="Arial" w:cs="Times New Roman"/>
          <w:b/>
          <w:caps/>
          <w:szCs w:val="24"/>
          <w:lang w:val="x-none" w:eastAsia="zh-CN"/>
        </w:rPr>
      </w:pPr>
    </w:p>
    <w:p w:rsidR="00C519F5" w:rsidRDefault="0031024F">
      <w:pPr>
        <w:spacing w:after="0" w:line="240" w:lineRule="auto"/>
        <w:jc w:val="center"/>
        <w:rPr>
          <w:rFonts w:ascii="Arial" w:eastAsia="MS Mincho" w:hAnsi="Arial" w:cs="Arial"/>
          <w:b/>
          <w:caps/>
          <w:szCs w:val="24"/>
          <w:lang w:val="x-none" w:eastAsia="zh-CN"/>
        </w:rPr>
      </w:pPr>
      <w:r>
        <w:rPr>
          <w:rFonts w:ascii="Arial" w:eastAsia="MS Mincho" w:hAnsi="Arial" w:cs="Times New Roman"/>
          <w:b/>
          <w:caps/>
          <w:szCs w:val="24"/>
          <w:lang w:val="x-none" w:eastAsia="zh-CN"/>
        </w:rPr>
        <w:t>BUREAU DES MARCHES SIC ET CONSEIL</w:t>
      </w:r>
    </w:p>
    <w:p w:rsidR="00C519F5" w:rsidRDefault="00C519F5">
      <w:pPr>
        <w:spacing w:before="120" w:after="0" w:line="240" w:lineRule="auto"/>
        <w:jc w:val="center"/>
        <w:rPr>
          <w:rFonts w:ascii="Arial" w:eastAsia="Times New Roman" w:hAnsi="Arial" w:cs="Arial"/>
          <w:b/>
          <w:caps/>
          <w:sz w:val="26"/>
          <w:szCs w:val="26"/>
          <w:lang w:eastAsia="zh-CN"/>
        </w:rPr>
      </w:pPr>
    </w:p>
    <w:p w:rsidR="00C519F5" w:rsidRDefault="00C519F5">
      <w:pPr>
        <w:spacing w:before="120" w:after="0" w:line="240" w:lineRule="auto"/>
        <w:jc w:val="center"/>
        <w:rPr>
          <w:rFonts w:ascii="Arial" w:eastAsia="Times New Roman" w:hAnsi="Arial" w:cs="Arial"/>
          <w:sz w:val="26"/>
          <w:szCs w:val="26"/>
          <w:lang w:eastAsia="zh-CN"/>
        </w:rPr>
      </w:pPr>
    </w:p>
    <w:p w:rsidR="00C519F5" w:rsidRDefault="00C519F5">
      <w:pPr>
        <w:spacing w:before="120" w:after="0" w:line="240" w:lineRule="auto"/>
        <w:jc w:val="center"/>
        <w:rPr>
          <w:rFonts w:ascii="Arial" w:eastAsia="Times New Roman" w:hAnsi="Arial" w:cs="Arial"/>
          <w:sz w:val="26"/>
          <w:szCs w:val="26"/>
          <w:lang w:eastAsia="zh-CN"/>
        </w:rPr>
      </w:pPr>
    </w:p>
    <w:p w:rsidR="00C519F5" w:rsidRDefault="0031024F">
      <w:pPr>
        <w:spacing w:before="120" w:after="0" w:line="240" w:lineRule="auto"/>
        <w:jc w:val="center"/>
        <w:rPr>
          <w:rFonts w:ascii="arial gras" w:eastAsia="Times New Roman" w:hAnsi="arial gras" w:cs="arial gras"/>
          <w:b/>
          <w:caps/>
          <w:sz w:val="32"/>
          <w:szCs w:val="32"/>
          <w:lang w:eastAsia="zh-CN"/>
        </w:rPr>
      </w:pPr>
      <w:r>
        <w:rPr>
          <w:rFonts w:ascii="arial gras" w:eastAsia="Times New Roman" w:hAnsi="arial gras" w:cs="arial gras"/>
          <w:b/>
          <w:caps/>
          <w:sz w:val="32"/>
          <w:szCs w:val="32"/>
          <w:lang w:eastAsia="zh-CN"/>
        </w:rPr>
        <w:t xml:space="preserve">ANNEXE VI au règlement de la </w:t>
      </w:r>
      <w:r>
        <w:rPr>
          <w:rFonts w:ascii="arial gras" w:eastAsia="Times New Roman" w:hAnsi="arial gras" w:cs="arial gras"/>
          <w:b/>
          <w:caps/>
          <w:sz w:val="32"/>
          <w:szCs w:val="32"/>
          <w:lang w:eastAsia="zh-CN"/>
        </w:rPr>
        <w:t>consultation</w:t>
      </w:r>
    </w:p>
    <w:p w:rsidR="00C519F5" w:rsidRDefault="0031024F">
      <w:pPr>
        <w:spacing w:before="120" w:after="0" w:line="240" w:lineRule="auto"/>
        <w:jc w:val="center"/>
        <w:rPr>
          <w:rFonts w:ascii="arial gras" w:eastAsia="Times New Roman" w:hAnsi="arial gras" w:cs="arial gras"/>
          <w:b/>
          <w:caps/>
          <w:sz w:val="32"/>
          <w:szCs w:val="32"/>
          <w:lang w:eastAsia="zh-CN"/>
        </w:rPr>
      </w:pPr>
      <w:r>
        <w:rPr>
          <w:rFonts w:ascii="arial gras" w:eastAsia="Times New Roman" w:hAnsi="arial gras" w:cs="arial gras"/>
          <w:b/>
          <w:caps/>
          <w:sz w:val="32"/>
          <w:szCs w:val="32"/>
          <w:lang w:eastAsia="zh-CN"/>
        </w:rPr>
        <w:t xml:space="preserve">Cadre de réponse technique (CRT) </w:t>
      </w:r>
    </w:p>
    <w:p w:rsidR="00C519F5" w:rsidRDefault="00C519F5">
      <w:pPr>
        <w:spacing w:before="60" w:after="60" w:line="240" w:lineRule="auto"/>
        <w:jc w:val="both"/>
        <w:rPr>
          <w:rFonts w:ascii="arial gras" w:eastAsia="Times New Roman" w:hAnsi="arial gras" w:cs="arial gras"/>
          <w:b/>
          <w:caps/>
          <w:sz w:val="32"/>
          <w:szCs w:val="32"/>
          <w:lang w:eastAsia="zh-CN"/>
        </w:rPr>
      </w:pPr>
    </w:p>
    <w:p w:rsidR="00C519F5" w:rsidRDefault="0031024F">
      <w:pPr>
        <w:pBdr>
          <w:top w:val="single" w:sz="4" w:space="1" w:color="000000"/>
          <w:left w:val="single" w:sz="4" w:space="4" w:color="000000"/>
          <w:bottom w:val="single" w:sz="4" w:space="1" w:color="000000"/>
          <w:right w:val="single" w:sz="4" w:space="4" w:color="000000"/>
        </w:pBdr>
        <w:spacing w:after="0" w:line="240" w:lineRule="auto"/>
        <w:jc w:val="center"/>
        <w:rPr>
          <w:rFonts w:ascii="Arial" w:eastAsia="Times New Roman" w:hAnsi="Arial" w:cs="Arial"/>
          <w:b/>
          <w:bCs/>
          <w:color w:val="000000"/>
          <w:sz w:val="28"/>
          <w:szCs w:val="28"/>
          <w:lang w:eastAsia="zh-CN"/>
        </w:rPr>
      </w:pPr>
      <w:r>
        <w:rPr>
          <w:rFonts w:ascii="Arial" w:eastAsia="Times New Roman" w:hAnsi="Arial" w:cs="Arial"/>
          <w:b/>
          <w:bCs/>
          <w:color w:val="000000"/>
          <w:sz w:val="28"/>
          <w:szCs w:val="28"/>
          <w:lang w:eastAsia="zh-CN"/>
        </w:rPr>
        <w:t>Accord-cadre relatif à la fourniture, l’installation, la mise en service et la maintenance de systèmes de diffusion de télévision du ministère de l’intérieur ainsi qu’à des prestations complémentaires connexe</w:t>
      </w:r>
      <w:r>
        <w:rPr>
          <w:rFonts w:ascii="Arial" w:eastAsia="Times New Roman" w:hAnsi="Arial" w:cs="Arial"/>
          <w:b/>
          <w:bCs/>
          <w:color w:val="000000"/>
          <w:sz w:val="28"/>
          <w:szCs w:val="28"/>
          <w:lang w:eastAsia="zh-CN"/>
        </w:rPr>
        <w:t>s</w:t>
      </w:r>
    </w:p>
    <w:p w:rsidR="00C519F5" w:rsidRDefault="00C519F5">
      <w:pPr>
        <w:tabs>
          <w:tab w:val="center" w:pos="1701"/>
        </w:tabs>
        <w:spacing w:before="60" w:after="60" w:line="240" w:lineRule="auto"/>
        <w:jc w:val="both"/>
        <w:rPr>
          <w:rFonts w:ascii="Arial" w:eastAsia="Times New Roman" w:hAnsi="Arial" w:cs="Arial"/>
          <w:b/>
          <w:sz w:val="20"/>
          <w:szCs w:val="20"/>
          <w:lang w:eastAsia="zh-CN"/>
        </w:rPr>
      </w:pPr>
    </w:p>
    <w:p w:rsidR="00C519F5" w:rsidRDefault="0031024F">
      <w:pPr>
        <w:pBdr>
          <w:top w:val="single" w:sz="4" w:space="1" w:color="000000"/>
          <w:left w:val="single" w:sz="4" w:space="4" w:color="000000"/>
          <w:bottom w:val="single" w:sz="4" w:space="1" w:color="000000"/>
          <w:right w:val="single" w:sz="4" w:space="4" w:color="000000"/>
        </w:pBdr>
        <w:spacing w:before="60" w:after="60" w:line="240" w:lineRule="auto"/>
        <w:jc w:val="both"/>
        <w:rPr>
          <w:rFonts w:ascii="Arial" w:eastAsia="Times New Roman" w:hAnsi="Arial" w:cs="Arial"/>
          <w:i/>
          <w:lang w:eastAsia="zh-CN"/>
        </w:rPr>
      </w:pPr>
      <w:r>
        <w:rPr>
          <w:rFonts w:ascii="Verdana" w:eastAsia="Times New Roman" w:hAnsi="Verdana" w:cs="Arial"/>
          <w:b/>
          <w:sz w:val="20"/>
          <w:szCs w:val="20"/>
          <w:lang w:eastAsia="zh-CN"/>
        </w:rPr>
        <w:t xml:space="preserve">AVERTISSEMENTS : </w:t>
      </w:r>
    </w:p>
    <w:p w:rsidR="00C519F5" w:rsidRDefault="0031024F">
      <w:pPr>
        <w:pBdr>
          <w:top w:val="single" w:sz="4" w:space="1" w:color="000000"/>
          <w:left w:val="single" w:sz="4" w:space="4" w:color="000000"/>
          <w:bottom w:val="single" w:sz="4" w:space="1" w:color="000000"/>
          <w:right w:val="single" w:sz="4" w:space="4" w:color="000000"/>
        </w:pBdr>
        <w:spacing w:before="60" w:after="60" w:line="240" w:lineRule="auto"/>
        <w:jc w:val="both"/>
        <w:rPr>
          <w:rFonts w:ascii="Arial" w:eastAsia="Times New Roman" w:hAnsi="Arial" w:cs="Arial"/>
          <w:lang w:eastAsia="zh-CN"/>
        </w:rPr>
      </w:pPr>
      <w:r>
        <w:rPr>
          <w:rFonts w:ascii="Arial" w:eastAsia="Times New Roman" w:hAnsi="Arial" w:cs="Arial"/>
          <w:i/>
          <w:lang w:eastAsia="zh-CN"/>
        </w:rPr>
        <w:t>Le présent document constitue le cadre que les soumissionnaires doivent suivre pour la présentation de leur offre technique.</w:t>
      </w:r>
    </w:p>
    <w:p w:rsidR="00C519F5" w:rsidRDefault="0031024F">
      <w:pPr>
        <w:pBdr>
          <w:top w:val="single" w:sz="4" w:space="1" w:color="000000"/>
          <w:left w:val="single" w:sz="4" w:space="4" w:color="000000"/>
          <w:bottom w:val="single" w:sz="4" w:space="1" w:color="000000"/>
          <w:right w:val="single" w:sz="4" w:space="4" w:color="000000"/>
        </w:pBdr>
        <w:spacing w:before="120" w:after="60" w:line="240" w:lineRule="auto"/>
        <w:jc w:val="both"/>
        <w:rPr>
          <w:rFonts w:ascii="Arial" w:eastAsia="Times New Roman" w:hAnsi="Arial" w:cs="Arial"/>
          <w:bCs/>
          <w:i/>
          <w:iCs/>
          <w:color w:val="000000"/>
          <w:lang w:eastAsia="zh-CN"/>
        </w:rPr>
      </w:pPr>
      <w:r>
        <w:rPr>
          <w:rFonts w:ascii="Arial" w:eastAsia="Times New Roman" w:hAnsi="Arial" w:cs="Arial"/>
          <w:bCs/>
          <w:i/>
          <w:iCs/>
          <w:color w:val="000000"/>
          <w:lang w:eastAsia="zh-CN"/>
        </w:rPr>
        <w:t xml:space="preserve">Le présent cadre de réponse technique renseigné par le soumissionnaire complète et précise, sans y contrevenir, le « Cahier des clauses techniques particulières ». </w:t>
      </w:r>
    </w:p>
    <w:p w:rsidR="00C519F5" w:rsidRDefault="0031024F">
      <w:pPr>
        <w:pBdr>
          <w:top w:val="single" w:sz="4" w:space="1" w:color="000000"/>
          <w:left w:val="single" w:sz="4" w:space="4" w:color="000000"/>
          <w:bottom w:val="single" w:sz="4" w:space="1" w:color="000000"/>
          <w:right w:val="single" w:sz="4" w:space="4" w:color="000000"/>
        </w:pBdr>
        <w:spacing w:before="120" w:after="60" w:line="240" w:lineRule="auto"/>
        <w:jc w:val="both"/>
        <w:rPr>
          <w:rFonts w:ascii="Arial" w:eastAsia="Times New Roman" w:hAnsi="Arial" w:cs="Arial"/>
          <w:bCs/>
          <w:i/>
          <w:iCs/>
          <w:color w:val="000000"/>
          <w:lang w:eastAsia="zh-CN"/>
        </w:rPr>
      </w:pPr>
      <w:r>
        <w:rPr>
          <w:rFonts w:ascii="Arial" w:eastAsia="Times New Roman" w:hAnsi="Arial" w:cs="Arial"/>
          <w:bCs/>
          <w:i/>
          <w:iCs/>
          <w:color w:val="000000"/>
          <w:lang w:eastAsia="zh-CN"/>
        </w:rPr>
        <w:t xml:space="preserve">De manière générale, le présent cadre de réponse technique renseigné comprend tous les éléments nécessaires à l’acheteur pour évaluer son offre conformément aux critères de sélection des offres. </w:t>
      </w:r>
    </w:p>
    <w:p w:rsidR="00C519F5" w:rsidRDefault="0031024F">
      <w:pPr>
        <w:pBdr>
          <w:top w:val="single" w:sz="4" w:space="1" w:color="000000"/>
          <w:left w:val="single" w:sz="4" w:space="4" w:color="000000"/>
          <w:bottom w:val="single" w:sz="4" w:space="1" w:color="000000"/>
          <w:right w:val="single" w:sz="4" w:space="4" w:color="000000"/>
        </w:pBdr>
        <w:spacing w:before="120" w:after="60" w:line="240" w:lineRule="auto"/>
        <w:jc w:val="both"/>
        <w:rPr>
          <w:rFonts w:ascii="Arial" w:eastAsia="Times New Roman" w:hAnsi="Arial" w:cs="Arial"/>
          <w:bCs/>
          <w:i/>
          <w:iCs/>
          <w:color w:val="000000"/>
          <w:lang w:eastAsia="zh-CN"/>
        </w:rPr>
      </w:pPr>
      <w:r>
        <w:rPr>
          <w:rFonts w:ascii="Arial" w:eastAsia="Times New Roman" w:hAnsi="Arial" w:cs="Arial"/>
          <w:bCs/>
          <w:i/>
          <w:iCs/>
          <w:color w:val="000000"/>
          <w:lang w:eastAsia="zh-CN"/>
        </w:rPr>
        <w:t xml:space="preserve">Le candidat doit argumenter de la qualité de sa solution et </w:t>
      </w:r>
      <w:r>
        <w:rPr>
          <w:rFonts w:ascii="Arial" w:eastAsia="Times New Roman" w:hAnsi="Arial" w:cs="Arial"/>
          <w:bCs/>
          <w:i/>
          <w:iCs/>
          <w:color w:val="000000"/>
          <w:lang w:eastAsia="zh-CN"/>
        </w:rPr>
        <w:t>de son adéquation aux besoins et exigences de l’accord-cadre sur les plans fonctionnel, organisationnel et technique.</w:t>
      </w:r>
    </w:p>
    <w:p w:rsidR="00C519F5" w:rsidRDefault="0031024F">
      <w:pPr>
        <w:pBdr>
          <w:top w:val="single" w:sz="4" w:space="1" w:color="000000"/>
          <w:left w:val="single" w:sz="4" w:space="4" w:color="000000"/>
          <w:bottom w:val="single" w:sz="4" w:space="1" w:color="000000"/>
          <w:right w:val="single" w:sz="4" w:space="4" w:color="000000"/>
        </w:pBdr>
        <w:spacing w:before="120" w:after="60" w:line="240" w:lineRule="auto"/>
        <w:jc w:val="both"/>
        <w:rPr>
          <w:rFonts w:ascii="Arial" w:eastAsia="Times New Roman" w:hAnsi="Arial" w:cs="Arial"/>
          <w:bCs/>
          <w:i/>
          <w:iCs/>
          <w:color w:val="000000"/>
          <w:lang w:eastAsia="zh-CN"/>
        </w:rPr>
      </w:pPr>
      <w:r>
        <w:rPr>
          <w:rFonts w:ascii="Arial" w:eastAsia="Times New Roman" w:hAnsi="Arial" w:cs="Arial"/>
          <w:bCs/>
          <w:i/>
          <w:iCs/>
          <w:color w:val="000000"/>
          <w:lang w:eastAsia="zh-CN"/>
        </w:rPr>
        <w:t>La liste des éléments ci-après constitue le cadre minimum de réponse attendu par l’acheteur. Il peut être complété (</w:t>
      </w:r>
      <w:r>
        <w:rPr>
          <w:rFonts w:ascii="Arial" w:eastAsia="Times New Roman" w:hAnsi="Arial" w:cs="Arial"/>
          <w:bCs/>
          <w:iCs/>
          <w:color w:val="000000"/>
          <w:lang w:eastAsia="zh-CN"/>
        </w:rPr>
        <w:t>annexes complémentaire</w:t>
      </w:r>
      <w:r>
        <w:rPr>
          <w:rFonts w:ascii="Arial" w:eastAsia="Times New Roman" w:hAnsi="Arial" w:cs="Arial"/>
          <w:bCs/>
          <w:iCs/>
          <w:color w:val="000000"/>
          <w:lang w:eastAsia="zh-CN"/>
        </w:rPr>
        <w:t>s</w:t>
      </w:r>
      <w:r>
        <w:rPr>
          <w:rFonts w:ascii="Arial" w:eastAsia="Times New Roman" w:hAnsi="Arial" w:cs="Arial"/>
          <w:bCs/>
          <w:i/>
          <w:iCs/>
          <w:color w:val="000000"/>
          <w:lang w:eastAsia="zh-CN"/>
        </w:rPr>
        <w:t xml:space="preserve">) par tout élément que le soumissionnaire juge nécessaire à la bonne compréhension de son offre. </w:t>
      </w:r>
    </w:p>
    <w:p w:rsidR="00C519F5" w:rsidRDefault="0031024F">
      <w:pPr>
        <w:pBdr>
          <w:top w:val="single" w:sz="4" w:space="1" w:color="000000"/>
          <w:left w:val="single" w:sz="4" w:space="4" w:color="000000"/>
          <w:bottom w:val="single" w:sz="4" w:space="1" w:color="000000"/>
          <w:right w:val="single" w:sz="4" w:space="4" w:color="000000"/>
        </w:pBdr>
        <w:spacing w:before="120" w:after="60" w:line="240" w:lineRule="auto"/>
        <w:jc w:val="both"/>
        <w:rPr>
          <w:rFonts w:ascii="Arial" w:eastAsia="Times New Roman" w:hAnsi="Arial" w:cs="Arial"/>
          <w:b/>
          <w:bCs/>
          <w:i/>
          <w:iCs/>
          <w:color w:val="000000"/>
          <w:lang w:eastAsia="zh-CN"/>
        </w:rPr>
      </w:pPr>
      <w:r>
        <w:rPr>
          <w:rFonts w:ascii="Arial" w:eastAsia="Times New Roman" w:hAnsi="Arial" w:cs="Arial"/>
          <w:bCs/>
          <w:i/>
          <w:iCs/>
          <w:color w:val="000000"/>
          <w:lang w:eastAsia="zh-CN"/>
        </w:rPr>
        <w:t>Toute documentation commerciale généraliste ou à visée publicitaire est proscrite de l’offre technique du candidat.</w:t>
      </w:r>
    </w:p>
    <w:p w:rsidR="00C519F5" w:rsidRDefault="00C519F5">
      <w:pPr>
        <w:spacing w:before="120" w:after="120" w:line="240" w:lineRule="auto"/>
        <w:jc w:val="both"/>
        <w:rPr>
          <w:rFonts w:ascii="Arial" w:eastAsia="Times New Roman" w:hAnsi="Arial" w:cs="Arial"/>
          <w:b/>
          <w:i/>
          <w:lang w:eastAsia="zh-CN"/>
        </w:rPr>
      </w:pPr>
    </w:p>
    <w:p w:rsidR="00C519F5" w:rsidRDefault="00C519F5">
      <w:pPr>
        <w:spacing w:before="120" w:after="120" w:line="240" w:lineRule="auto"/>
        <w:jc w:val="both"/>
        <w:rPr>
          <w:rFonts w:ascii="Verdana" w:eastAsia="Times New Roman" w:hAnsi="Verdana" w:cs="Arial"/>
          <w:i/>
          <w:sz w:val="20"/>
          <w:szCs w:val="20"/>
          <w:lang w:eastAsia="zh-CN"/>
        </w:rPr>
      </w:pPr>
    </w:p>
    <w:p w:rsidR="00C519F5" w:rsidRDefault="00C519F5">
      <w:pPr>
        <w:spacing w:before="120" w:after="120" w:line="240" w:lineRule="auto"/>
        <w:jc w:val="both"/>
        <w:rPr>
          <w:rFonts w:ascii="Verdana" w:eastAsia="Times New Roman" w:hAnsi="Verdana" w:cs="Arial"/>
          <w:i/>
          <w:sz w:val="20"/>
          <w:szCs w:val="20"/>
          <w:lang w:eastAsia="zh-CN"/>
        </w:rPr>
      </w:pPr>
    </w:p>
    <w:p w:rsidR="00C519F5" w:rsidRDefault="00C519F5">
      <w:pPr>
        <w:spacing w:before="120" w:after="120" w:line="240" w:lineRule="auto"/>
        <w:jc w:val="both"/>
        <w:rPr>
          <w:rFonts w:ascii="Verdana" w:eastAsia="Times New Roman" w:hAnsi="Verdana" w:cs="Arial"/>
          <w:i/>
          <w:sz w:val="20"/>
          <w:szCs w:val="20"/>
          <w:lang w:eastAsia="zh-CN"/>
        </w:rPr>
      </w:pPr>
    </w:p>
    <w:p w:rsidR="00C519F5" w:rsidRDefault="00C519F5">
      <w:pPr>
        <w:spacing w:before="120" w:after="120" w:line="240" w:lineRule="auto"/>
        <w:jc w:val="both"/>
        <w:rPr>
          <w:rFonts w:ascii="Arial" w:eastAsia="Times New Roman" w:hAnsi="Arial" w:cs="Arial"/>
          <w:i/>
          <w:color w:val="000000"/>
          <w:lang w:eastAsia="zh-CN"/>
        </w:rPr>
      </w:pPr>
    </w:p>
    <w:p w:rsidR="00C519F5" w:rsidRDefault="00C519F5">
      <w:pPr>
        <w:pBdr>
          <w:top w:val="single" w:sz="12" w:space="1" w:color="FF0000"/>
          <w:left w:val="single" w:sz="12" w:space="4" w:color="FF0000"/>
          <w:bottom w:val="single" w:sz="12" w:space="6" w:color="FF0000"/>
          <w:right w:val="single" w:sz="12" w:space="4" w:color="FF0000"/>
        </w:pBdr>
        <w:spacing w:before="62" w:after="62" w:line="240" w:lineRule="auto"/>
        <w:jc w:val="center"/>
        <w:rPr>
          <w:rFonts w:ascii="Arial" w:eastAsia="Times New Roman" w:hAnsi="Arial" w:cs="Arial"/>
          <w:color w:val="FF0000"/>
          <w:lang w:eastAsia="zh-CN"/>
        </w:rPr>
      </w:pPr>
    </w:p>
    <w:p w:rsidR="00C519F5" w:rsidRDefault="0031024F">
      <w:pPr>
        <w:pBdr>
          <w:top w:val="single" w:sz="12" w:space="1" w:color="FF0000"/>
          <w:left w:val="single" w:sz="12" w:space="4" w:color="FF0000"/>
          <w:bottom w:val="single" w:sz="12" w:space="6" w:color="FF0000"/>
          <w:right w:val="single" w:sz="12" w:space="4" w:color="FF0000"/>
        </w:pBdr>
        <w:spacing w:before="62" w:after="62" w:line="240" w:lineRule="auto"/>
        <w:jc w:val="center"/>
        <w:rPr>
          <w:rFonts w:ascii="Verdana" w:eastAsia="Times New Roman" w:hAnsi="Verdana" w:cs="Arial"/>
          <w:color w:val="FF0000"/>
          <w:lang w:eastAsia="zh-CN"/>
        </w:rPr>
      </w:pPr>
      <w:r>
        <w:rPr>
          <w:rFonts w:ascii="Verdana" w:eastAsia="Times New Roman" w:hAnsi="Verdana" w:cs="Arial"/>
          <w:color w:val="FF0000"/>
          <w:lang w:eastAsia="zh-CN"/>
        </w:rPr>
        <w:t xml:space="preserve">Le mémoire technique du candidat </w:t>
      </w:r>
      <w:r>
        <w:rPr>
          <w:rFonts w:ascii="Verdana" w:eastAsia="Times New Roman" w:hAnsi="Verdana" w:cs="Arial"/>
          <w:color w:val="FF0000"/>
          <w:lang w:eastAsia="zh-CN"/>
        </w:rPr>
        <w:t>suit le plan décrit ci-dessous.</w:t>
      </w:r>
    </w:p>
    <w:p w:rsidR="00C519F5" w:rsidRDefault="0031024F">
      <w:pPr>
        <w:pBdr>
          <w:top w:val="single" w:sz="12" w:space="1" w:color="FF0000"/>
          <w:left w:val="single" w:sz="12" w:space="4" w:color="FF0000"/>
          <w:bottom w:val="single" w:sz="12" w:space="6" w:color="FF0000"/>
          <w:right w:val="single" w:sz="12" w:space="4" w:color="FF0000"/>
        </w:pBdr>
        <w:spacing w:before="62" w:after="62" w:line="240" w:lineRule="auto"/>
        <w:jc w:val="center"/>
        <w:rPr>
          <w:rFonts w:ascii="Times New Roman" w:eastAsia="Times New Roman" w:hAnsi="Times New Roman" w:cs="Times New Roman"/>
          <w:color w:val="FF0000"/>
          <w:sz w:val="24"/>
          <w:szCs w:val="24"/>
          <w:lang w:eastAsia="zh-CN"/>
        </w:rPr>
      </w:pPr>
      <w:r>
        <w:rPr>
          <w:rFonts w:ascii="Verdana" w:eastAsia="Times New Roman" w:hAnsi="Verdana" w:cs="Arial"/>
          <w:color w:val="FF0000"/>
          <w:lang w:eastAsia="zh-CN"/>
        </w:rPr>
        <w:t>Dans le corps de sa réponse, le candidat indique les numéros des exigences auxquels il se rapporte. Le candidat veille à répondre à l’ensemble des exigences.</w:t>
      </w:r>
    </w:p>
    <w:p w:rsidR="00C519F5" w:rsidRDefault="00C519F5">
      <w:pPr>
        <w:pBdr>
          <w:top w:val="single" w:sz="12" w:space="1" w:color="FF0000"/>
          <w:left w:val="single" w:sz="12" w:space="4" w:color="FF0000"/>
          <w:bottom w:val="single" w:sz="12" w:space="6" w:color="FF0000"/>
          <w:right w:val="single" w:sz="12" w:space="4" w:color="FF0000"/>
        </w:pBdr>
        <w:spacing w:before="62" w:after="62" w:line="240" w:lineRule="auto"/>
        <w:jc w:val="center"/>
        <w:rPr>
          <w:rFonts w:ascii="Times New Roman" w:eastAsia="Times New Roman" w:hAnsi="Times New Roman" w:cs="Times New Roman"/>
          <w:color w:val="FF0000"/>
          <w:sz w:val="24"/>
          <w:szCs w:val="24"/>
          <w:lang w:eastAsia="zh-CN"/>
        </w:rPr>
      </w:pPr>
    </w:p>
    <w:p w:rsidR="00C519F5" w:rsidRDefault="00C519F5">
      <w:pPr>
        <w:spacing w:before="120" w:after="120" w:line="240" w:lineRule="auto"/>
        <w:jc w:val="both"/>
        <w:rPr>
          <w:rFonts w:ascii="Arial" w:eastAsia="Times New Roman" w:hAnsi="Arial" w:cs="Arial"/>
          <w:lang w:eastAsia="zh-CN"/>
        </w:rPr>
      </w:pPr>
    </w:p>
    <w:p w:rsidR="00C519F5" w:rsidRDefault="0031024F">
      <w:pPr>
        <w:keepNext/>
        <w:numPr>
          <w:ilvl w:val="0"/>
          <w:numId w:val="1"/>
        </w:numPr>
        <w:spacing w:before="120" w:after="120" w:line="240" w:lineRule="auto"/>
        <w:jc w:val="both"/>
        <w:outlineLvl w:val="0"/>
        <w:rPr>
          <w:rFonts w:ascii="Arial" w:eastAsia="Times New Roman" w:hAnsi="Arial" w:cs="Arial"/>
          <w:b/>
          <w:bCs/>
          <w:caps/>
          <w:u w:val="single"/>
          <w:lang w:eastAsia="zh-CN"/>
        </w:rPr>
      </w:pPr>
      <w:r>
        <w:rPr>
          <w:rFonts w:ascii="Arial" w:eastAsia="Times New Roman" w:hAnsi="Arial" w:cs="Arial"/>
          <w:b/>
          <w:bCs/>
          <w:caps/>
          <w:kern w:val="2"/>
          <w:u w:val="single"/>
          <w:lang w:eastAsia="zh-CN"/>
        </w:rPr>
        <w:t xml:space="preserve">I. appréhension générale du besoin et qualité de l’organisation </w:t>
      </w:r>
      <w:r>
        <w:rPr>
          <w:rFonts w:ascii="Arial" w:eastAsia="Times New Roman" w:hAnsi="Arial" w:cs="Arial"/>
          <w:b/>
          <w:bCs/>
          <w:caps/>
          <w:kern w:val="2"/>
          <w:u w:val="single"/>
          <w:lang w:eastAsia="zh-CN"/>
        </w:rPr>
        <w:t>proposée</w:t>
      </w:r>
    </w:p>
    <w:p w:rsidR="00C519F5" w:rsidRDefault="0031024F">
      <w:pPr>
        <w:spacing w:before="120" w:after="120" w:line="240" w:lineRule="auto"/>
        <w:jc w:val="both"/>
        <w:rPr>
          <w:rFonts w:ascii="Arial" w:eastAsia="Times New Roman" w:hAnsi="Arial" w:cs="Arial"/>
          <w:lang w:eastAsia="zh-CN"/>
        </w:rPr>
      </w:pPr>
      <w:r>
        <w:rPr>
          <w:rFonts w:ascii="Arial" w:eastAsia="Times New Roman" w:hAnsi="Arial" w:cs="Arial"/>
          <w:u w:val="single"/>
          <w:lang w:eastAsia="zh-CN"/>
        </w:rPr>
        <w:t>1.1 Qualité de l'appréhension générale du besoin et pertinence de l’organisation proposée</w:t>
      </w:r>
    </w:p>
    <w:p w:rsidR="00C519F5" w:rsidRDefault="0031024F">
      <w:pPr>
        <w:spacing w:before="120" w:after="120" w:line="240" w:lineRule="auto"/>
        <w:jc w:val="both"/>
        <w:outlineLvl w:val="0"/>
        <w:rPr>
          <w:rFonts w:ascii="Arial" w:eastAsia="Times New Roman" w:hAnsi="Arial" w:cs="Arial"/>
          <w:color w:val="000000"/>
          <w:lang w:eastAsia="zh-CN"/>
        </w:rPr>
      </w:pPr>
      <w:r>
        <w:rPr>
          <w:rFonts w:ascii="Arial" w:eastAsia="Times New Roman" w:hAnsi="Arial" w:cs="Arial"/>
          <w:lang w:eastAsia="zh-CN"/>
        </w:rPr>
        <w:t>Le candidat :</w:t>
      </w:r>
    </w:p>
    <w:p w:rsidR="00C519F5" w:rsidRDefault="0031024F">
      <w:pPr>
        <w:numPr>
          <w:ilvl w:val="0"/>
          <w:numId w:val="2"/>
        </w:numPr>
        <w:spacing w:before="120" w:after="0" w:line="240" w:lineRule="auto"/>
        <w:jc w:val="both"/>
        <w:rPr>
          <w:rFonts w:ascii="Arial" w:eastAsia="Times New Roman" w:hAnsi="Arial" w:cs="Arial"/>
          <w:lang w:eastAsia="zh-CN"/>
        </w:rPr>
      </w:pPr>
      <w:r>
        <w:rPr>
          <w:rFonts w:ascii="Arial" w:eastAsia="Times New Roman" w:hAnsi="Arial" w:cs="Arial"/>
          <w:color w:val="000000"/>
          <w:lang w:eastAsia="zh-CN"/>
        </w:rPr>
        <w:t>produit une synthèse des enjeux techniques et organisationnels</w:t>
      </w:r>
      <w:r>
        <w:rPr>
          <w:rFonts w:ascii="Arial" w:eastAsia="Times New Roman" w:hAnsi="Arial" w:cs="Arial"/>
          <w:lang w:eastAsia="zh-CN"/>
        </w:rPr>
        <w:t>.</w:t>
      </w:r>
    </w:p>
    <w:p w:rsidR="00C519F5" w:rsidRDefault="00C519F5">
      <w:pPr>
        <w:spacing w:before="120" w:after="120" w:line="240" w:lineRule="auto"/>
        <w:ind w:left="1440"/>
        <w:contextualSpacing/>
        <w:jc w:val="both"/>
        <w:rPr>
          <w:rFonts w:ascii="Arial" w:eastAsia="Times New Roman" w:hAnsi="Arial" w:cs="Arial"/>
          <w:lang w:eastAsia="zh-CN"/>
        </w:rPr>
      </w:pPr>
    </w:p>
    <w:p w:rsidR="00C519F5" w:rsidRDefault="0031024F">
      <w:pPr>
        <w:spacing w:before="120" w:after="120" w:line="240" w:lineRule="auto"/>
        <w:jc w:val="both"/>
        <w:rPr>
          <w:rFonts w:ascii="Arial" w:eastAsia="Times New Roman" w:hAnsi="Arial" w:cs="Arial"/>
          <w:lang w:eastAsia="zh-CN"/>
        </w:rPr>
      </w:pPr>
      <w:r>
        <w:rPr>
          <w:rFonts w:ascii="Arial" w:eastAsia="Times New Roman" w:hAnsi="Arial" w:cs="Arial"/>
          <w:u w:val="single"/>
          <w:lang w:eastAsia="zh-CN"/>
        </w:rPr>
        <w:t>1.2 Qualité du processus de pilotage du projet</w:t>
      </w:r>
    </w:p>
    <w:p w:rsidR="00C519F5" w:rsidRDefault="0031024F">
      <w:pPr>
        <w:spacing w:before="120" w:after="120" w:line="240" w:lineRule="auto"/>
        <w:jc w:val="both"/>
        <w:outlineLvl w:val="0"/>
        <w:rPr>
          <w:rFonts w:ascii="Arial" w:eastAsia="Times New Roman" w:hAnsi="Arial" w:cs="Arial"/>
          <w:color w:val="000000"/>
          <w:lang w:eastAsia="zh-CN"/>
        </w:rPr>
      </w:pPr>
      <w:r>
        <w:rPr>
          <w:rFonts w:ascii="Arial" w:eastAsia="Times New Roman" w:hAnsi="Arial" w:cs="Arial"/>
          <w:lang w:eastAsia="zh-CN"/>
        </w:rPr>
        <w:t>Le candidat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 xml:space="preserve">présente </w:t>
      </w:r>
      <w:r>
        <w:rPr>
          <w:rFonts w:ascii="Arial" w:eastAsia="Times New Roman" w:hAnsi="Arial" w:cs="Arial"/>
          <w:color w:val="000000"/>
          <w:lang w:eastAsia="zh-CN"/>
        </w:rPr>
        <w:t>les éven</w:t>
      </w:r>
      <w:r>
        <w:rPr>
          <w:rFonts w:ascii="Arial" w:eastAsia="Times New Roman" w:hAnsi="Arial" w:cs="Arial"/>
          <w:color w:val="000000"/>
          <w:lang w:eastAsia="zh-CN"/>
        </w:rPr>
        <w:t>tuels agréments</w:t>
      </w:r>
      <w:r>
        <w:rPr>
          <w:rFonts w:ascii="Arial" w:eastAsia="Times New Roman" w:hAnsi="Arial" w:cs="Arial"/>
          <w:color w:val="000000"/>
          <w:lang w:eastAsia="zh-CN"/>
        </w:rPr>
        <w:t xml:space="preserve"> constructeurs relatifs au matériel proposé dans l'offre (le cas échéant, audits réalisés auprès de ses fournisseurs)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décrit ses modalités d'approvisionnement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décrit les sites de stockage et leur localisation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 xml:space="preserve">décrit le circuit </w:t>
      </w:r>
      <w:r>
        <w:rPr>
          <w:rFonts w:ascii="Arial" w:eastAsia="Times New Roman" w:hAnsi="Arial" w:cs="Arial"/>
          <w:color w:val="000000"/>
          <w:lang w:eastAsia="zh-CN"/>
        </w:rPr>
        <w:t>logistique des pièces ;</w:t>
      </w:r>
    </w:p>
    <w:p w:rsidR="00C519F5" w:rsidRDefault="0031024F">
      <w:pPr>
        <w:numPr>
          <w:ilvl w:val="0"/>
          <w:numId w:val="3"/>
        </w:numPr>
        <w:spacing w:before="120" w:after="0" w:line="240" w:lineRule="auto"/>
        <w:jc w:val="both"/>
        <w:rPr>
          <w:rFonts w:ascii="Arial" w:eastAsia="Times New Roman" w:hAnsi="Arial" w:cs="Arial"/>
          <w:lang w:eastAsia="zh-CN"/>
        </w:rPr>
      </w:pPr>
      <w:r>
        <w:rPr>
          <w:rFonts w:ascii="Arial" w:eastAsia="Times New Roman" w:hAnsi="Arial" w:cs="Arial"/>
          <w:color w:val="000000"/>
          <w:lang w:eastAsia="zh-CN"/>
        </w:rPr>
        <w:t>précise les modalités de gestion et de suivi de son stock.</w:t>
      </w:r>
    </w:p>
    <w:p w:rsidR="00C519F5" w:rsidRDefault="00C519F5">
      <w:pPr>
        <w:spacing w:before="120" w:after="0" w:line="240" w:lineRule="auto"/>
        <w:ind w:left="720"/>
        <w:jc w:val="both"/>
        <w:rPr>
          <w:rFonts w:ascii="Arial" w:eastAsia="Times New Roman" w:hAnsi="Arial" w:cs="Arial"/>
          <w:lang w:eastAsia="zh-CN"/>
        </w:rPr>
      </w:pPr>
    </w:p>
    <w:p w:rsidR="00C519F5" w:rsidRDefault="0031024F">
      <w:pPr>
        <w:spacing w:before="120" w:after="120" w:line="240" w:lineRule="auto"/>
        <w:jc w:val="both"/>
        <w:rPr>
          <w:rFonts w:ascii="Arial" w:eastAsia="Times New Roman" w:hAnsi="Arial" w:cs="Arial"/>
          <w:lang w:eastAsia="zh-CN"/>
        </w:rPr>
      </w:pPr>
      <w:r>
        <w:rPr>
          <w:rFonts w:ascii="Arial" w:eastAsia="Times New Roman" w:hAnsi="Arial" w:cs="Arial"/>
          <w:u w:val="single"/>
          <w:lang w:eastAsia="zh-CN"/>
        </w:rPr>
        <w:t xml:space="preserve">1.3 </w:t>
      </w:r>
      <w:r>
        <w:rPr>
          <w:rFonts w:ascii="Arial" w:eastAsia="Times New Roman" w:hAnsi="Arial" w:cs="Arial"/>
          <w:kern w:val="2"/>
          <w:u w:val="single"/>
          <w:lang w:eastAsia="zh-CN"/>
        </w:rPr>
        <w:t>Qualité des livrables et documentation remis à l’administration</w:t>
      </w:r>
    </w:p>
    <w:p w:rsidR="00C519F5" w:rsidRDefault="0031024F">
      <w:pPr>
        <w:spacing w:before="120" w:after="120" w:line="240" w:lineRule="auto"/>
        <w:jc w:val="both"/>
        <w:outlineLvl w:val="0"/>
        <w:rPr>
          <w:rFonts w:ascii="Arial" w:eastAsia="Times New Roman" w:hAnsi="Arial" w:cs="Arial"/>
          <w:color w:val="000000"/>
          <w:lang w:eastAsia="zh-CN"/>
        </w:rPr>
      </w:pPr>
      <w:r>
        <w:rPr>
          <w:rFonts w:ascii="Arial" w:eastAsia="Times New Roman" w:hAnsi="Arial" w:cs="Arial"/>
          <w:lang w:eastAsia="zh-CN"/>
        </w:rPr>
        <w:t>Le candidat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décrit le processus de rédaction et de contrôle interne des documents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 xml:space="preserve">présente la </w:t>
      </w:r>
      <w:r>
        <w:rPr>
          <w:rFonts w:ascii="Arial" w:eastAsia="Times New Roman" w:hAnsi="Arial" w:cs="Arial"/>
          <w:color w:val="000000"/>
          <w:lang w:eastAsia="zh-CN"/>
        </w:rPr>
        <w:t>manière dont est structurée la documentation technique communiquée à l'administration  (méthodologie, structure et format de la documentation)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présente les exemples de documentation technique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présente les formations proposées pour la technologie concer</w:t>
      </w:r>
      <w:r>
        <w:rPr>
          <w:rFonts w:ascii="Arial" w:eastAsia="Times New Roman" w:hAnsi="Arial" w:cs="Arial"/>
          <w:color w:val="000000"/>
          <w:lang w:eastAsia="zh-CN"/>
        </w:rPr>
        <w:t>née ;</w:t>
      </w:r>
    </w:p>
    <w:p w:rsidR="00C519F5" w:rsidRDefault="0031024F">
      <w:pPr>
        <w:numPr>
          <w:ilvl w:val="0"/>
          <w:numId w:val="3"/>
        </w:numPr>
        <w:spacing w:before="120" w:after="0" w:line="240" w:lineRule="auto"/>
        <w:jc w:val="both"/>
        <w:rPr>
          <w:rFonts w:ascii="Arial" w:eastAsia="Times New Roman" w:hAnsi="Arial" w:cs="Arial"/>
          <w:lang w:eastAsia="zh-CN"/>
        </w:rPr>
      </w:pPr>
      <w:r>
        <w:rPr>
          <w:rFonts w:ascii="Arial" w:eastAsia="Times New Roman" w:hAnsi="Arial" w:cs="Arial"/>
          <w:color w:val="000000"/>
          <w:lang w:eastAsia="zh-CN"/>
        </w:rPr>
        <w:t>présente des exemples de supports de formation.</w:t>
      </w:r>
    </w:p>
    <w:p w:rsidR="00C519F5" w:rsidRDefault="00C519F5">
      <w:pPr>
        <w:spacing w:before="120" w:after="120" w:line="240" w:lineRule="auto"/>
        <w:jc w:val="both"/>
        <w:outlineLvl w:val="0"/>
        <w:rPr>
          <w:rFonts w:ascii="Arial" w:eastAsia="Times New Roman" w:hAnsi="Arial" w:cs="Arial"/>
          <w:b/>
          <w:bCs/>
          <w:caps/>
          <w:lang w:eastAsia="zh-CN"/>
        </w:rPr>
      </w:pPr>
    </w:p>
    <w:p w:rsidR="00C519F5" w:rsidRDefault="0031024F">
      <w:pPr>
        <w:numPr>
          <w:ilvl w:val="0"/>
          <w:numId w:val="1"/>
        </w:numPr>
        <w:spacing w:before="120" w:after="120" w:line="240" w:lineRule="auto"/>
        <w:jc w:val="both"/>
        <w:outlineLvl w:val="0"/>
        <w:rPr>
          <w:rFonts w:ascii="Arial" w:eastAsia="Times New Roman" w:hAnsi="Arial" w:cs="Arial"/>
          <w:b/>
          <w:bCs/>
          <w:caps/>
          <w:u w:val="single"/>
          <w:lang w:eastAsia="zh-CN"/>
        </w:rPr>
      </w:pPr>
      <w:r>
        <w:rPr>
          <w:rFonts w:ascii="Arial" w:eastAsia="Times New Roman" w:hAnsi="Arial" w:cs="Arial"/>
          <w:b/>
          <w:bCs/>
          <w:caps/>
          <w:kern w:val="2"/>
          <w:u w:val="single"/>
          <w:lang w:eastAsia="zh-CN"/>
        </w:rPr>
        <w:t>II. qualité des études d'intégration et du déploiement des équipements</w:t>
      </w:r>
    </w:p>
    <w:p w:rsidR="00C519F5" w:rsidRDefault="0031024F">
      <w:pPr>
        <w:spacing w:before="120" w:after="120" w:line="240" w:lineRule="auto"/>
        <w:jc w:val="both"/>
        <w:rPr>
          <w:rFonts w:ascii="Arial" w:eastAsia="Times New Roman" w:hAnsi="Arial" w:cs="Arial"/>
          <w:lang w:eastAsia="zh-CN"/>
        </w:rPr>
      </w:pPr>
      <w:r>
        <w:rPr>
          <w:rFonts w:ascii="Arial" w:eastAsia="Times New Roman" w:hAnsi="Arial" w:cs="Arial"/>
          <w:u w:val="single"/>
          <w:lang w:eastAsia="zh-CN"/>
        </w:rPr>
        <w:t>2.1 Qualité du processus de réalisation des études d’intégration</w:t>
      </w:r>
    </w:p>
    <w:p w:rsidR="00C519F5" w:rsidRDefault="0031024F">
      <w:pPr>
        <w:spacing w:before="120" w:after="120" w:line="240" w:lineRule="auto"/>
        <w:jc w:val="both"/>
        <w:rPr>
          <w:rFonts w:ascii="Arial" w:eastAsia="Times New Roman" w:hAnsi="Arial" w:cs="Arial"/>
          <w:color w:val="000000"/>
          <w:lang w:eastAsia="zh-CN"/>
        </w:rPr>
      </w:pPr>
      <w:r>
        <w:rPr>
          <w:rFonts w:ascii="Arial" w:eastAsia="Times New Roman" w:hAnsi="Arial" w:cs="Arial"/>
          <w:lang w:eastAsia="zh-CN"/>
        </w:rPr>
        <w:t>Le candidat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décrit le processus de réalisation d'une étude d'in</w:t>
      </w:r>
      <w:r>
        <w:rPr>
          <w:rFonts w:ascii="Arial" w:eastAsia="Times New Roman" w:hAnsi="Arial" w:cs="Arial"/>
          <w:color w:val="000000"/>
          <w:lang w:eastAsia="zh-CN"/>
        </w:rPr>
        <w:t>tégration (les étapes de l'étude) ;</w:t>
      </w:r>
    </w:p>
    <w:p w:rsidR="00C519F5" w:rsidRDefault="0031024F">
      <w:pPr>
        <w:numPr>
          <w:ilvl w:val="0"/>
          <w:numId w:val="3"/>
        </w:numPr>
        <w:spacing w:before="120" w:after="0" w:line="240" w:lineRule="auto"/>
        <w:jc w:val="both"/>
        <w:rPr>
          <w:rFonts w:ascii="Arial" w:eastAsia="Times New Roman" w:hAnsi="Arial" w:cs="Arial"/>
          <w:u w:val="single"/>
          <w:lang w:eastAsia="zh-CN"/>
        </w:rPr>
      </w:pPr>
      <w:r>
        <w:rPr>
          <w:rFonts w:ascii="Arial" w:eastAsia="Times New Roman" w:hAnsi="Arial" w:cs="Arial"/>
          <w:color w:val="000000"/>
          <w:lang w:eastAsia="zh-CN"/>
        </w:rPr>
        <w:t>présente les références et profils du ou des chargé(s) des études d'intégration.</w:t>
      </w:r>
      <w:r>
        <w:rPr>
          <w:rFonts w:ascii="Arial" w:eastAsia="Times New Roman" w:hAnsi="Arial" w:cs="Arial"/>
          <w:color w:val="000000"/>
          <w:highlight w:val="yellow"/>
          <w:lang w:eastAsia="zh-CN"/>
        </w:rPr>
        <w:br/>
      </w:r>
    </w:p>
    <w:p w:rsidR="00C519F5" w:rsidRDefault="0031024F">
      <w:pPr>
        <w:spacing w:before="120" w:after="120" w:line="240" w:lineRule="auto"/>
        <w:jc w:val="both"/>
        <w:rPr>
          <w:rFonts w:ascii="Arial" w:eastAsia="Times New Roman" w:hAnsi="Arial" w:cs="Arial"/>
          <w:lang w:eastAsia="zh-CN"/>
        </w:rPr>
      </w:pPr>
      <w:r>
        <w:rPr>
          <w:rFonts w:ascii="Arial" w:eastAsia="Times New Roman" w:hAnsi="Arial" w:cs="Arial"/>
          <w:u w:val="single"/>
          <w:lang w:eastAsia="zh-CN"/>
        </w:rPr>
        <w:t>2.2 Qualité du processus de déploiement des équipements</w:t>
      </w:r>
    </w:p>
    <w:p w:rsidR="00C519F5" w:rsidRDefault="0031024F">
      <w:pPr>
        <w:spacing w:after="0" w:line="240" w:lineRule="auto"/>
        <w:jc w:val="both"/>
        <w:outlineLvl w:val="0"/>
        <w:rPr>
          <w:rFonts w:ascii="Arial" w:eastAsia="Times New Roman" w:hAnsi="Arial" w:cs="Arial"/>
          <w:color w:val="000000"/>
          <w:lang w:eastAsia="zh-CN"/>
        </w:rPr>
      </w:pPr>
      <w:r>
        <w:rPr>
          <w:rFonts w:ascii="Arial" w:eastAsia="Times New Roman" w:hAnsi="Arial" w:cs="Arial"/>
          <w:lang w:eastAsia="zh-CN"/>
        </w:rPr>
        <w:t>Le candidat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 xml:space="preserve">décrit la structure de l'équipe proposée pour le déploiement des </w:t>
      </w:r>
      <w:r>
        <w:rPr>
          <w:rFonts w:ascii="Arial" w:eastAsia="Times New Roman" w:hAnsi="Arial" w:cs="Arial"/>
          <w:color w:val="000000"/>
          <w:lang w:eastAsia="zh-CN"/>
        </w:rPr>
        <w:t>équipements et présente les compétences de chacun des membres de l'équipe. Afin de rendre possible l’analyse des compétences et des expériences des intervenants, le candidat doit compléter, pour chacun d’eux, la fiche-profil objet de l’annexe IX au RC ;</w:t>
      </w:r>
    </w:p>
    <w:p w:rsidR="00C519F5" w:rsidRDefault="0031024F">
      <w:pPr>
        <w:numPr>
          <w:ilvl w:val="0"/>
          <w:numId w:val="3"/>
        </w:numPr>
        <w:spacing w:before="120" w:after="0" w:line="240" w:lineRule="auto"/>
        <w:jc w:val="both"/>
        <w:rPr>
          <w:rFonts w:ascii="Arial" w:eastAsia="Times New Roman" w:hAnsi="Arial" w:cs="Arial"/>
          <w:lang w:eastAsia="zh-CN"/>
        </w:rPr>
      </w:pPr>
      <w:r>
        <w:rPr>
          <w:rFonts w:ascii="Arial" w:eastAsia="Times New Roman" w:hAnsi="Arial" w:cs="Arial"/>
          <w:color w:val="000000"/>
          <w:lang w:eastAsia="zh-CN"/>
        </w:rPr>
        <w:lastRenderedPageBreak/>
        <w:t>dé</w:t>
      </w:r>
      <w:r>
        <w:rPr>
          <w:rFonts w:ascii="Arial" w:eastAsia="Times New Roman" w:hAnsi="Arial" w:cs="Arial"/>
          <w:color w:val="000000"/>
          <w:lang w:eastAsia="zh-CN"/>
        </w:rPr>
        <w:t>crit les dispositions prises pour le travail en hauteur (pose d'aériens) et donne la liste des personnels autorisés à travailler en hauteur.</w:t>
      </w:r>
    </w:p>
    <w:p w:rsidR="00C519F5" w:rsidRDefault="00C519F5">
      <w:pPr>
        <w:spacing w:before="120" w:after="120" w:line="240" w:lineRule="auto"/>
        <w:jc w:val="both"/>
        <w:outlineLvl w:val="0"/>
        <w:rPr>
          <w:rFonts w:ascii="Arial" w:eastAsia="Times New Roman" w:hAnsi="Arial" w:cs="Arial"/>
          <w:lang w:eastAsia="zh-CN"/>
        </w:rPr>
      </w:pPr>
    </w:p>
    <w:p w:rsidR="00C519F5" w:rsidRDefault="0031024F">
      <w:pPr>
        <w:keepNext/>
        <w:numPr>
          <w:ilvl w:val="0"/>
          <w:numId w:val="1"/>
        </w:numPr>
        <w:spacing w:before="120" w:after="120" w:line="240" w:lineRule="auto"/>
        <w:jc w:val="both"/>
        <w:outlineLvl w:val="0"/>
        <w:rPr>
          <w:rFonts w:ascii="Arial" w:eastAsia="Times New Roman" w:hAnsi="Arial" w:cs="Arial"/>
          <w:b/>
          <w:bCs/>
          <w:caps/>
          <w:u w:val="single"/>
          <w:lang w:eastAsia="zh-CN"/>
        </w:rPr>
      </w:pPr>
      <w:r>
        <w:rPr>
          <w:rFonts w:ascii="Arial" w:eastAsia="Times New Roman" w:hAnsi="Arial" w:cs="Arial"/>
          <w:b/>
          <w:bCs/>
          <w:caps/>
          <w:kern w:val="2"/>
          <w:u w:val="single"/>
          <w:lang w:eastAsia="zh-CN"/>
        </w:rPr>
        <w:t>III. qualité de la maintenance</w:t>
      </w:r>
    </w:p>
    <w:p w:rsidR="00C519F5" w:rsidRDefault="0031024F">
      <w:pPr>
        <w:spacing w:before="120" w:after="120" w:line="240" w:lineRule="auto"/>
        <w:jc w:val="both"/>
        <w:rPr>
          <w:rFonts w:ascii="Arial" w:eastAsia="Times New Roman" w:hAnsi="Arial" w:cs="Arial"/>
          <w:lang w:eastAsia="zh-CN"/>
        </w:rPr>
      </w:pPr>
      <w:r>
        <w:rPr>
          <w:rFonts w:ascii="Arial" w:eastAsia="Times New Roman" w:hAnsi="Arial" w:cs="Arial"/>
          <w:u w:val="single"/>
          <w:lang w:eastAsia="zh-CN"/>
        </w:rPr>
        <w:t>3. 1 Qualité du processus de maintenance corrective</w:t>
      </w:r>
    </w:p>
    <w:p w:rsidR="00C519F5" w:rsidRDefault="0031024F">
      <w:pPr>
        <w:spacing w:after="0" w:line="240" w:lineRule="auto"/>
        <w:jc w:val="both"/>
        <w:outlineLvl w:val="0"/>
        <w:rPr>
          <w:rFonts w:ascii="Arial" w:eastAsia="Times New Roman" w:hAnsi="Arial" w:cs="Arial"/>
          <w:color w:val="000000"/>
          <w:lang w:eastAsia="zh-CN"/>
        </w:rPr>
      </w:pPr>
      <w:r>
        <w:rPr>
          <w:rFonts w:ascii="Arial" w:eastAsia="Times New Roman" w:hAnsi="Arial" w:cs="Arial"/>
          <w:lang w:eastAsia="zh-CN"/>
        </w:rPr>
        <w:t>Le candidat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présente l'organi</w:t>
      </w:r>
      <w:r>
        <w:rPr>
          <w:rFonts w:ascii="Arial" w:eastAsia="Times New Roman" w:hAnsi="Arial" w:cs="Arial"/>
          <w:color w:val="000000"/>
          <w:lang w:eastAsia="zh-CN"/>
        </w:rPr>
        <w:t>sation et les moyens mis en place pour assurer la maintenance corrective, en précisant si un numéro d'appel dédié est mis en place pour la prise en compte des incidents, les délais d'intervention, la structure de l'équipe et la compétences de chacun des me</w:t>
      </w:r>
      <w:r>
        <w:rPr>
          <w:rFonts w:ascii="Arial" w:eastAsia="Times New Roman" w:hAnsi="Arial" w:cs="Arial"/>
          <w:color w:val="000000"/>
          <w:lang w:eastAsia="zh-CN"/>
        </w:rPr>
        <w:t xml:space="preserve">mbres de l'équipe, la présence éventuelle d'un stock de pièces de rechange dans les locaux du candidat, la localisation des techniciens et des stocks, les modalités de contournement envisageables etc.) </w:t>
      </w:r>
      <w:r>
        <w:rPr>
          <w:rFonts w:ascii="Arial" w:eastAsia="Times New Roman" w:hAnsi="Arial" w:cs="Arial"/>
          <w:color w:val="000000"/>
          <w:lang w:eastAsia="zh-CN"/>
        </w:rPr>
        <w:br/>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décrit la procédure d'escalade ;</w:t>
      </w:r>
    </w:p>
    <w:p w:rsidR="00C519F5" w:rsidRDefault="0031024F">
      <w:pPr>
        <w:numPr>
          <w:ilvl w:val="0"/>
          <w:numId w:val="3"/>
        </w:numPr>
        <w:spacing w:before="120" w:after="0" w:line="240" w:lineRule="auto"/>
        <w:rPr>
          <w:rFonts w:ascii="Arial" w:eastAsia="Times New Roman" w:hAnsi="Arial" w:cs="Arial"/>
          <w:color w:val="000000"/>
          <w:u w:val="single"/>
          <w:lang w:eastAsia="zh-CN"/>
        </w:rPr>
      </w:pPr>
      <w:r>
        <w:rPr>
          <w:rFonts w:ascii="Arial" w:eastAsia="Times New Roman" w:hAnsi="Arial" w:cs="Arial"/>
          <w:color w:val="000000"/>
          <w:lang w:eastAsia="zh-CN"/>
        </w:rPr>
        <w:t xml:space="preserve">fournit un exemple </w:t>
      </w:r>
      <w:r>
        <w:rPr>
          <w:rFonts w:ascii="Arial" w:eastAsia="Times New Roman" w:hAnsi="Arial" w:cs="Arial"/>
          <w:color w:val="000000"/>
          <w:lang w:eastAsia="zh-CN"/>
        </w:rPr>
        <w:t>de rapport d'intervention.</w:t>
      </w:r>
      <w:r>
        <w:rPr>
          <w:rFonts w:ascii="Arial" w:eastAsia="Times New Roman" w:hAnsi="Arial" w:cs="Arial"/>
          <w:color w:val="000000"/>
          <w:lang w:eastAsia="zh-CN"/>
        </w:rPr>
        <w:br/>
      </w:r>
    </w:p>
    <w:p w:rsidR="00C519F5" w:rsidRDefault="0031024F">
      <w:pPr>
        <w:spacing w:before="120" w:after="120" w:line="240" w:lineRule="auto"/>
        <w:jc w:val="both"/>
        <w:rPr>
          <w:rFonts w:ascii="Arial" w:eastAsia="Times New Roman" w:hAnsi="Arial" w:cs="Arial"/>
          <w:lang w:eastAsia="zh-CN"/>
        </w:rPr>
      </w:pPr>
      <w:r>
        <w:rPr>
          <w:rFonts w:ascii="Arial" w:eastAsia="Times New Roman" w:hAnsi="Arial" w:cs="Arial"/>
          <w:color w:val="000000"/>
          <w:u w:val="single"/>
          <w:lang w:eastAsia="zh-CN"/>
        </w:rPr>
        <w:t>3. 2 Qualité du processus de maintenance préventive</w:t>
      </w:r>
    </w:p>
    <w:p w:rsidR="00C519F5" w:rsidRDefault="0031024F">
      <w:pPr>
        <w:spacing w:after="0" w:line="240" w:lineRule="auto"/>
        <w:jc w:val="both"/>
        <w:outlineLvl w:val="0"/>
        <w:rPr>
          <w:rFonts w:ascii="Arial" w:eastAsia="Times New Roman" w:hAnsi="Arial" w:cs="Arial"/>
          <w:color w:val="000000"/>
          <w:lang w:eastAsia="zh-CN"/>
        </w:rPr>
      </w:pPr>
      <w:r>
        <w:rPr>
          <w:rFonts w:ascii="Arial" w:eastAsia="Times New Roman" w:hAnsi="Arial" w:cs="Arial"/>
          <w:lang w:eastAsia="zh-CN"/>
        </w:rPr>
        <w:t>Le candidat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décrit son plan de maintenance préventive, en précisant notamment la durée d'indisponibilité des équipements lors de la maintenance préventive, tests éventuels, f</w:t>
      </w:r>
      <w:r>
        <w:rPr>
          <w:rFonts w:ascii="Arial" w:eastAsia="Times New Roman" w:hAnsi="Arial" w:cs="Arial"/>
          <w:color w:val="000000"/>
          <w:lang w:eastAsia="zh-CN"/>
        </w:rPr>
        <w:t>réquence des visites, tâches effectuées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présente l'organisation et les moyens matériels et humains mis en œuvre pour assurer la maintenance préventive ;</w:t>
      </w:r>
    </w:p>
    <w:p w:rsidR="00C519F5" w:rsidRDefault="0031024F">
      <w:pPr>
        <w:numPr>
          <w:ilvl w:val="0"/>
          <w:numId w:val="3"/>
        </w:numPr>
        <w:spacing w:before="120" w:after="0" w:line="240" w:lineRule="auto"/>
        <w:jc w:val="both"/>
        <w:rPr>
          <w:rFonts w:ascii="Arial" w:eastAsia="Times New Roman" w:hAnsi="Arial" w:cs="Arial"/>
          <w:lang w:eastAsia="zh-CN"/>
        </w:rPr>
      </w:pPr>
      <w:r>
        <w:rPr>
          <w:rFonts w:ascii="Arial" w:eastAsia="Times New Roman" w:hAnsi="Arial" w:cs="Arial"/>
          <w:color w:val="000000"/>
          <w:lang w:eastAsia="zh-CN"/>
        </w:rPr>
        <w:t>fournit un exemple de compte-rendu de maintenance préventive.</w:t>
      </w:r>
    </w:p>
    <w:p w:rsidR="00C519F5" w:rsidRDefault="00C519F5">
      <w:pPr>
        <w:spacing w:before="120" w:after="120" w:line="240" w:lineRule="auto"/>
        <w:jc w:val="both"/>
        <w:outlineLvl w:val="0"/>
        <w:rPr>
          <w:rFonts w:ascii="Arial" w:eastAsia="Times New Roman" w:hAnsi="Arial" w:cs="Arial"/>
          <w:b/>
          <w:bCs/>
          <w:caps/>
          <w:lang w:eastAsia="zh-CN"/>
        </w:rPr>
      </w:pPr>
    </w:p>
    <w:p w:rsidR="00C519F5" w:rsidRDefault="0031024F">
      <w:pPr>
        <w:numPr>
          <w:ilvl w:val="0"/>
          <w:numId w:val="1"/>
        </w:numPr>
        <w:spacing w:before="120" w:after="120" w:line="240" w:lineRule="auto"/>
        <w:jc w:val="both"/>
        <w:outlineLvl w:val="0"/>
        <w:rPr>
          <w:rFonts w:ascii="Arial" w:eastAsia="Times New Roman" w:hAnsi="Arial" w:cs="Arial"/>
          <w:b/>
          <w:bCs/>
          <w:caps/>
          <w:lang w:eastAsia="zh-CN"/>
        </w:rPr>
      </w:pPr>
      <w:r>
        <w:rPr>
          <w:rFonts w:ascii="Arial" w:eastAsia="Times New Roman" w:hAnsi="Arial" w:cs="Arial"/>
          <w:b/>
          <w:bCs/>
          <w:caps/>
          <w:kern w:val="2"/>
          <w:u w:val="single"/>
          <w:lang w:eastAsia="zh-CN"/>
        </w:rPr>
        <w:t>IV. qualité du processus de réversibil</w:t>
      </w:r>
      <w:r>
        <w:rPr>
          <w:rFonts w:ascii="Arial" w:eastAsia="Times New Roman" w:hAnsi="Arial" w:cs="Arial"/>
          <w:b/>
          <w:bCs/>
          <w:caps/>
          <w:kern w:val="2"/>
          <w:u w:val="single"/>
          <w:lang w:eastAsia="zh-CN"/>
        </w:rPr>
        <w:t>ité/transférabilité</w:t>
      </w:r>
    </w:p>
    <w:p w:rsidR="00C519F5" w:rsidRDefault="0031024F">
      <w:pPr>
        <w:spacing w:after="0" w:line="240" w:lineRule="auto"/>
        <w:jc w:val="both"/>
        <w:outlineLvl w:val="0"/>
        <w:rPr>
          <w:rFonts w:ascii="Arial" w:eastAsia="Times New Roman" w:hAnsi="Arial" w:cs="Arial"/>
          <w:color w:val="000000"/>
          <w:lang w:eastAsia="zh-CN"/>
        </w:rPr>
      </w:pPr>
      <w:r>
        <w:rPr>
          <w:rFonts w:ascii="Arial" w:eastAsia="Times New Roman" w:hAnsi="Arial" w:cs="Arial"/>
          <w:lang w:eastAsia="zh-CN"/>
        </w:rPr>
        <w:t>Le candidat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démontre la qualité des moyens et de l’organisation mobilisés en vue de garantir la conduite à bonne fin de la prestation P7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présente sa capacité à respecter le calendrier de la prestation et la qualité de l’articulation</w:t>
      </w:r>
      <w:r>
        <w:rPr>
          <w:rFonts w:ascii="Arial" w:eastAsia="Times New Roman" w:hAnsi="Arial" w:cs="Arial"/>
          <w:color w:val="000000"/>
          <w:lang w:eastAsia="zh-CN"/>
        </w:rPr>
        <w:t xml:space="preserve"> entre les actions engagées au titre de la prestation afin d’en garantir la synergie au bénéfice d’une exécution cohérente de la prestation ;</w:t>
      </w:r>
    </w:p>
    <w:p w:rsidR="00C519F5" w:rsidRDefault="0031024F">
      <w:pPr>
        <w:numPr>
          <w:ilvl w:val="0"/>
          <w:numId w:val="3"/>
        </w:numPr>
        <w:spacing w:before="120"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présente sa capacité à collaborer efficacement avec l'administration ou le tiers désigné pour la reprise des prest</w:t>
      </w:r>
      <w:r>
        <w:rPr>
          <w:rFonts w:ascii="Arial" w:eastAsia="Times New Roman" w:hAnsi="Arial" w:cs="Arial"/>
          <w:color w:val="000000"/>
          <w:lang w:eastAsia="zh-CN"/>
        </w:rPr>
        <w:t>ations ;</w:t>
      </w:r>
    </w:p>
    <w:p w:rsidR="00C519F5" w:rsidRDefault="0031024F">
      <w:pPr>
        <w:numPr>
          <w:ilvl w:val="0"/>
          <w:numId w:val="3"/>
        </w:numPr>
        <w:spacing w:before="120" w:after="0" w:line="240" w:lineRule="auto"/>
        <w:jc w:val="both"/>
        <w:rPr>
          <w:rFonts w:ascii="Verdana" w:eastAsia="Times New Roman" w:hAnsi="Verdana" w:cs="Arial"/>
          <w:sz w:val="20"/>
          <w:szCs w:val="20"/>
          <w:lang w:eastAsia="zh-CN"/>
        </w:rPr>
      </w:pPr>
      <w:r>
        <w:rPr>
          <w:rFonts w:ascii="Arial" w:eastAsia="Times New Roman" w:hAnsi="Arial" w:cs="Arial"/>
          <w:color w:val="000000"/>
          <w:lang w:eastAsia="zh-CN"/>
        </w:rPr>
        <w:t xml:space="preserve">démontre sa capacité à transférer une documentation exhaustive, de qualité .et rigoureusement organisée. </w:t>
      </w:r>
    </w:p>
    <w:sectPr w:rsidR="00C519F5">
      <w:footerReference w:type="even" r:id="rId8"/>
      <w:footerReference w:type="default" r:id="rId9"/>
      <w:footerReference w:type="first" r:id="rId10"/>
      <w:pgSz w:w="11906" w:h="16838"/>
      <w:pgMar w:top="709" w:right="1418" w:bottom="993" w:left="1418"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1024F">
      <w:pPr>
        <w:spacing w:after="0" w:line="240" w:lineRule="auto"/>
      </w:pPr>
      <w:r>
        <w:separator/>
      </w:r>
    </w:p>
  </w:endnote>
  <w:endnote w:type="continuationSeparator" w:id="0">
    <w:p w:rsidR="00000000" w:rsidRDefault="00310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gras">
    <w:panose1 w:val="020B0704020202020204"/>
    <w:charset w:val="01"/>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9F5" w:rsidRDefault="00C519F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9F5" w:rsidRDefault="0031024F">
    <w:pPr>
      <w:pStyle w:val="Pieddepage"/>
      <w:pBdr>
        <w:top w:val="single" w:sz="4" w:space="1" w:color="000000"/>
      </w:pBdr>
      <w:spacing w:before="60" w:after="60"/>
    </w:pPr>
    <w:r>
      <w:t>SG/DEPAFI/SAILMI/SDASEM/BAN</w:t>
    </w:r>
    <w:r>
      <w:tab/>
      <w:t xml:space="preserve">                 CRT AOO Diffusion TV</w:t>
    </w:r>
    <w:r>
      <w:tab/>
      <w:t>page</w:t>
    </w:r>
    <w:r>
      <w:t xml:space="preserve"> </w:t>
    </w:r>
    <w:r>
      <w:fldChar w:fldCharType="begin"/>
    </w:r>
    <w:r>
      <w:instrText xml:space="preserve"> PAGE </w:instrText>
    </w:r>
    <w:r>
      <w:fldChar w:fldCharType="separate"/>
    </w:r>
    <w:r>
      <w:rPr>
        <w:noProof/>
      </w:rPr>
      <w:t>2</w:t>
    </w:r>
    <w:r>
      <w:fldChar w:fldCharType="end"/>
    </w:r>
    <w:r>
      <w:t>/</w:t>
    </w:r>
    <w:r>
      <w:fldChar w:fldCharType="begin"/>
    </w:r>
    <w:r>
      <w:instrText xml:space="preserve"> NUMPAGES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9F5" w:rsidRDefault="0031024F">
    <w:pPr>
      <w:pStyle w:val="Pieddepage"/>
      <w:pBdr>
        <w:top w:val="single" w:sz="4" w:space="1" w:color="000000"/>
      </w:pBdr>
      <w:spacing w:before="60" w:after="60"/>
    </w:pPr>
    <w:r>
      <w:t>SG/DEPAFI/SAILMI/SDASEM/BAN</w:t>
    </w:r>
    <w:r>
      <w:tab/>
      <w:t xml:space="preserve">                 CRT AOO Diffusion TV</w:t>
    </w:r>
    <w:r>
      <w:tab/>
      <w:t xml:space="preserve">page </w:t>
    </w:r>
    <w:r>
      <w:fldChar w:fldCharType="begin"/>
    </w:r>
    <w:r>
      <w:instrText xml:space="preserve"> PAGE </w:instrText>
    </w:r>
    <w:r>
      <w:fldChar w:fldCharType="separate"/>
    </w:r>
    <w:r>
      <w:t>3</w:t>
    </w:r>
    <w:r>
      <w:fldChar w:fldCharType="end"/>
    </w:r>
    <w:r>
      <w:t>/</w:t>
    </w:r>
    <w:r>
      <w:fldChar w:fldCharType="begin"/>
    </w:r>
    <w:r>
      <w:instrText xml:space="preserve"> NUMPAGES </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1024F">
      <w:pPr>
        <w:spacing w:after="0" w:line="240" w:lineRule="auto"/>
      </w:pPr>
      <w:r>
        <w:separator/>
      </w:r>
    </w:p>
  </w:footnote>
  <w:footnote w:type="continuationSeparator" w:id="0">
    <w:p w:rsidR="00000000" w:rsidRDefault="00310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0CC1"/>
    <w:multiLevelType w:val="multilevel"/>
    <w:tmpl w:val="DCBCBB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9720724"/>
    <w:multiLevelType w:val="multilevel"/>
    <w:tmpl w:val="213C7308"/>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BD30792"/>
    <w:multiLevelType w:val="multilevel"/>
    <w:tmpl w:val="4B0C84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8AC5EA7"/>
    <w:multiLevelType w:val="multilevel"/>
    <w:tmpl w:val="D7DA7E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9F5"/>
    <w:rsid w:val="0031024F"/>
    <w:rsid w:val="00867CD9"/>
    <w:rsid w:val="00C519F5"/>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B06CE3-D633-4932-A0FB-FCB534D1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uiPriority w:val="99"/>
    <w:semiHidden/>
    <w:qFormat/>
    <w:rsid w:val="008B6931"/>
  </w:style>
  <w:style w:type="character" w:customStyle="1" w:styleId="CorpsdetexteCar">
    <w:name w:val="Corps de texte Car"/>
    <w:basedOn w:val="Policepardfaut"/>
    <w:link w:val="Corpsdetexte"/>
    <w:uiPriority w:val="99"/>
    <w:semiHidden/>
    <w:qFormat/>
    <w:rsid w:val="008B6931"/>
  </w:style>
  <w:style w:type="paragraph" w:styleId="Titre">
    <w:name w:val="Title"/>
    <w:basedOn w:val="Normal"/>
    <w:next w:val="Corpsdetexte"/>
    <w:qFormat/>
    <w:pPr>
      <w:keepNext/>
      <w:spacing w:before="240" w:after="120"/>
    </w:pPr>
    <w:rPr>
      <w:rFonts w:ascii="Marianne" w:eastAsia="Microsoft YaHei" w:hAnsi="Marianne" w:cs="Arial"/>
      <w:sz w:val="28"/>
      <w:szCs w:val="28"/>
    </w:rPr>
  </w:style>
  <w:style w:type="paragraph" w:styleId="Corpsdetexte">
    <w:name w:val="Body Text"/>
    <w:basedOn w:val="Normal"/>
    <w:link w:val="CorpsdetexteCar"/>
    <w:uiPriority w:val="99"/>
    <w:semiHidden/>
    <w:unhideWhenUsed/>
    <w:rsid w:val="008B6931"/>
    <w:pPr>
      <w:spacing w:after="120"/>
    </w:pPr>
  </w:style>
  <w:style w:type="paragraph" w:styleId="Liste">
    <w:name w:val="List"/>
    <w:basedOn w:val="Corpsdetexte"/>
    <w:rPr>
      <w:rFonts w:ascii="Marianne" w:hAnsi="Marianne" w:cs="Arial"/>
    </w:rPr>
  </w:style>
  <w:style w:type="paragraph" w:styleId="Lgende">
    <w:name w:val="caption"/>
    <w:basedOn w:val="Normal"/>
    <w:qFormat/>
    <w:pPr>
      <w:suppressLineNumbers/>
      <w:spacing w:before="120" w:after="120"/>
    </w:pPr>
    <w:rPr>
      <w:rFonts w:ascii="Marianne" w:hAnsi="Marianne" w:cs="Arial"/>
      <w:i/>
      <w:iCs/>
      <w:sz w:val="24"/>
      <w:szCs w:val="24"/>
    </w:rPr>
  </w:style>
  <w:style w:type="paragraph" w:customStyle="1" w:styleId="Index">
    <w:name w:val="Index"/>
    <w:basedOn w:val="Normal"/>
    <w:qFormat/>
    <w:pPr>
      <w:suppressLineNumbers/>
    </w:pPr>
    <w:rPr>
      <w:rFonts w:ascii="Marianne" w:hAnsi="Marianne" w:cs="Arial"/>
    </w:rPr>
  </w:style>
  <w:style w:type="paragraph" w:customStyle="1" w:styleId="HeaderandFooter">
    <w:name w:val="Header and Footer"/>
    <w:basedOn w:val="Normal"/>
    <w:qFormat/>
  </w:style>
  <w:style w:type="paragraph" w:styleId="Pieddepage">
    <w:name w:val="footer"/>
    <w:basedOn w:val="Normal"/>
    <w:link w:val="PieddepageCar"/>
    <w:uiPriority w:val="99"/>
    <w:semiHidden/>
    <w:unhideWhenUsed/>
    <w:rsid w:val="008B6931"/>
    <w:pPr>
      <w:tabs>
        <w:tab w:val="center" w:pos="4536"/>
        <w:tab w:val="right" w:pos="9072"/>
      </w:tabs>
      <w:spacing w:after="0" w:line="240" w:lineRule="auto"/>
    </w:pPr>
  </w:style>
  <w:style w:type="paragraph" w:customStyle="1" w:styleId="ServiceInfoHeader">
    <w:name w:val="Service Info Header"/>
    <w:basedOn w:val="Normal"/>
    <w:next w:val="Corpsdetexte"/>
    <w:qFormat/>
    <w:rsid w:val="008B6931"/>
    <w:pPr>
      <w:widowControl w:val="0"/>
      <w:tabs>
        <w:tab w:val="right" w:pos="9026"/>
      </w:tabs>
      <w:spacing w:after="0" w:line="240" w:lineRule="auto"/>
      <w:jc w:val="right"/>
    </w:pPr>
    <w:rPr>
      <w:rFonts w:ascii="Arial" w:eastAsia="Arial" w:hAnsi="Arial" w:cs="Arial"/>
      <w:b/>
      <w:bCs/>
      <w:sz w:val="24"/>
      <w:szCs w:val="24"/>
      <w:lang w:eastAsia="zh-CN"/>
    </w:rPr>
  </w:style>
  <w:style w:type="paragraph" w:customStyle="1" w:styleId="Contenudecadre">
    <w:name w:val="Contenu de cadre"/>
    <w:basedOn w:val="Normal"/>
    <w:qFormat/>
  </w:style>
  <w:style w:type="numbering" w:customStyle="1" w:styleId="Pasdeliste">
    <w:name w:val="Pas de liste"/>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4655</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FAUCHEUR Clara</dc:creator>
  <dc:description/>
  <cp:lastModifiedBy>LE FAUCHEUR Clara</cp:lastModifiedBy>
  <cp:revision>2</cp:revision>
  <dcterms:created xsi:type="dcterms:W3CDTF">2025-07-08T12:18:00Z</dcterms:created>
  <dcterms:modified xsi:type="dcterms:W3CDTF">2025-07-08T12:18:00Z</dcterms:modified>
  <dc:language>fr-FR</dc:language>
</cp:coreProperties>
</file>